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E" w:rsidRPr="000E0FB4" w:rsidRDefault="00B82633" w:rsidP="00544718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Cs w:val="21"/>
        </w:rPr>
      </w:pPr>
      <w:r w:rsidRPr="000E0FB4">
        <w:rPr>
          <w:rFonts w:ascii="宋体" w:hAnsi="宋体" w:hint="eastAsia"/>
          <w:b/>
          <w:bCs/>
          <w:iCs/>
          <w:color w:val="000000"/>
          <w:szCs w:val="21"/>
        </w:rPr>
        <w:t>证券代码：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300289                                </w:t>
      </w:r>
      <w:r w:rsidR="00544718">
        <w:rPr>
          <w:rFonts w:ascii="宋体" w:hAnsi="宋体" w:hint="eastAsia"/>
          <w:b/>
          <w:bCs/>
          <w:iCs/>
          <w:color w:val="000000"/>
          <w:szCs w:val="21"/>
        </w:rPr>
        <w:t xml:space="preserve">              </w:t>
      </w:r>
      <w:r w:rsidRPr="000E0FB4">
        <w:rPr>
          <w:rFonts w:ascii="宋体" w:hAnsi="宋体"/>
          <w:b/>
          <w:bCs/>
          <w:iCs/>
          <w:color w:val="000000"/>
          <w:szCs w:val="21"/>
        </w:rPr>
        <w:t>证券简称：利德</w:t>
      </w:r>
      <w:proofErr w:type="gramStart"/>
      <w:r w:rsidRPr="000E0FB4">
        <w:rPr>
          <w:rFonts w:ascii="宋体" w:hAnsi="宋体" w:hint="eastAsia"/>
          <w:b/>
          <w:bCs/>
          <w:iCs/>
          <w:color w:val="000000"/>
          <w:szCs w:val="21"/>
        </w:rPr>
        <w:t>曼</w:t>
      </w:r>
      <w:proofErr w:type="gramEnd"/>
    </w:p>
    <w:p w:rsidR="000E558E" w:rsidRPr="000427B1" w:rsidRDefault="000E558E" w:rsidP="0054471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</w:p>
    <w:p w:rsidR="00392134" w:rsidRPr="00392134" w:rsidRDefault="00B82633" w:rsidP="0054471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:rsidR="004A370E" w:rsidRPr="00392134" w:rsidRDefault="00B82633" w:rsidP="0054471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7020A6">
        <w:rPr>
          <w:rFonts w:ascii="宋体" w:hAnsi="宋体" w:hint="eastAsia"/>
          <w:bCs/>
          <w:iCs/>
          <w:color w:val="000000"/>
          <w:sz w:val="24"/>
        </w:rPr>
        <w:t>201</w:t>
      </w:r>
      <w:r w:rsidR="00783BDD">
        <w:rPr>
          <w:rFonts w:ascii="宋体" w:hAnsi="宋体" w:hint="eastAsia"/>
          <w:bCs/>
          <w:iCs/>
          <w:color w:val="000000"/>
          <w:sz w:val="24"/>
        </w:rPr>
        <w:t>7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783BDD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513"/>
      </w:tblGrid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A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</w:rPr>
              <w:t>师会议</w:t>
            </w:r>
            <w:proofErr w:type="gramEnd"/>
            <w:r w:rsidR="00F6714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</w:t>
            </w:r>
          </w:p>
          <w:p w:rsidR="004A370E" w:rsidRPr="00640E7E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  <w:r w:rsidR="00F6714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4A370E" w:rsidRPr="00640E7E" w:rsidRDefault="00B82633" w:rsidP="00F67146">
            <w:pPr>
              <w:tabs>
                <w:tab w:val="left" w:pos="2365"/>
                <w:tab w:val="center" w:pos="3199"/>
              </w:tabs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</w:t>
            </w:r>
            <w:r w:rsidR="00020FAA">
              <w:rPr>
                <w:rFonts w:ascii="宋体" w:hAnsi="宋体" w:hint="eastAsia"/>
                <w:sz w:val="28"/>
                <w:szCs w:val="28"/>
              </w:rPr>
              <w:t>(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</w:t>
            </w:r>
            <w:r w:rsidR="00020FAA">
              <w:rPr>
                <w:rFonts w:ascii="宋体" w:hAnsi="宋体" w:hint="eastAsia"/>
                <w:sz w:val="28"/>
                <w:szCs w:val="28"/>
                <w:u w:val="single"/>
              </w:rPr>
              <w:t>)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18" w:rsidRDefault="0092350C" w:rsidP="0021607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溪牛投资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：周婷；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瑞久基金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：张斌；亚宝投资：丁旋；</w:t>
            </w:r>
          </w:p>
          <w:p w:rsidR="0092350C" w:rsidRPr="0092350C" w:rsidRDefault="0092350C" w:rsidP="0021607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广证恒生：陈家华；高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瓴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资本：陈晔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114A8F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783BDD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7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783BDD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3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783BDD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  <w:r w:rsidR="00783BDD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9:45-1</w:t>
            </w:r>
            <w:r w:rsidR="00FA21B3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</w:t>
            </w:r>
            <w:r w:rsidR="00783BDD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:</w:t>
            </w:r>
            <w:r w:rsidR="00FA21B3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00</w:t>
            </w:r>
            <w:r w:rsidR="0092350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,11:</w:t>
            </w:r>
            <w:r w:rsidR="00114A8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</w:t>
            </w:r>
            <w:r w:rsidR="00FA21B3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</w:t>
            </w:r>
            <w:r w:rsidR="0092350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-12:</w:t>
            </w:r>
            <w:r w:rsidR="00FA21B3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00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4A5C0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公司</w:t>
            </w:r>
            <w:r w:rsidR="00025D3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会议室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A31A49" w:rsidP="0088450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董事会秘书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张丽华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:rsidR="004A370E" w:rsidRPr="00640E7E" w:rsidRDefault="00AA7EF4" w:rsidP="00025D3A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  <w:r w:rsidR="00D12D1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。</w:t>
            </w:r>
          </w:p>
          <w:p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:rsidR="00933640" w:rsidRDefault="00907F71" w:rsidP="00907F7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</w:t>
            </w:r>
            <w:r w:rsidR="000E04C8">
              <w:rPr>
                <w:rFonts w:asciiTheme="minorEastAsia" w:eastAsiaTheme="minorEastAsia" w:hAnsiTheme="minorEastAsia" w:hint="eastAsia"/>
                <w:sz w:val="28"/>
                <w:szCs w:val="28"/>
              </w:rPr>
              <w:t>董事会秘书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介绍公司主营业务情况</w:t>
            </w:r>
            <w:r w:rsidR="00EE1BB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E1E32" w:rsidRDefault="00907F71" w:rsidP="00907F7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二、问答环节</w:t>
            </w:r>
          </w:p>
          <w:p w:rsidR="00792269" w:rsidRDefault="000C7A61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问：公司化学发光试剂</w:t>
            </w:r>
            <w:r w:rsidR="001730A8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检测包含哪些</w:t>
            </w:r>
            <w:r w:rsidR="00B54B7D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项目？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发光仪装机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以哪类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医院</w:t>
            </w:r>
            <w:r w:rsidR="00F76E46">
              <w:rPr>
                <w:rFonts w:asciiTheme="minorEastAsia" w:eastAsiaTheme="minorEastAsia" w:hAnsiTheme="minorEastAsia" w:hint="eastAsia"/>
                <w:sz w:val="28"/>
                <w:szCs w:val="28"/>
              </w:rPr>
              <w:t>为主？</w:t>
            </w:r>
            <w:r w:rsidR="00AA749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F22654" w:rsidRDefault="00F22654" w:rsidP="00F22654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1730A8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化学发光试剂已经取得31个产品注册证，检测项目包括肿瘤标志物、传染病和激素类等，可以满足</w:t>
            </w:r>
            <w:r w:rsidRPr="002541AA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用户的</w:t>
            </w:r>
            <w:r w:rsidR="007F3D92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检测菜单</w:t>
            </w:r>
            <w:r w:rsidR="007F3D92">
              <w:rPr>
                <w:rFonts w:asciiTheme="minorEastAsia" w:eastAsiaTheme="minorEastAsia" w:hAnsiTheme="minorEastAsia" w:hint="eastAsia"/>
                <w:sz w:val="28"/>
                <w:szCs w:val="28"/>
              </w:rPr>
              <w:t>，乙肝五项预计年内</w:t>
            </w:r>
            <w:r w:rsidR="00D33147">
              <w:rPr>
                <w:rFonts w:asciiTheme="minorEastAsia" w:eastAsiaTheme="minorEastAsia" w:hAnsiTheme="minorEastAsia" w:hint="eastAsia"/>
                <w:sz w:val="28"/>
                <w:szCs w:val="28"/>
              </w:rPr>
              <w:t>能够取得产品注册证</w:t>
            </w:r>
            <w:r w:rsidR="007F3D92">
              <w:rPr>
                <w:rFonts w:asciiTheme="minorEastAsia" w:eastAsiaTheme="minorEastAsia" w:hAnsiTheme="minorEastAsia" w:hint="eastAsia"/>
                <w:sz w:val="28"/>
                <w:szCs w:val="28"/>
              </w:rPr>
              <w:t>，将</w:t>
            </w:r>
            <w:r w:rsidR="00A412E8">
              <w:rPr>
                <w:rFonts w:asciiTheme="minorEastAsia" w:eastAsiaTheme="minorEastAsia" w:hAnsiTheme="minorEastAsia" w:hint="eastAsia"/>
                <w:sz w:val="28"/>
                <w:szCs w:val="28"/>
              </w:rPr>
              <w:t>进一步</w:t>
            </w:r>
            <w:r w:rsidR="001730A8">
              <w:rPr>
                <w:rFonts w:asciiTheme="minorEastAsia" w:eastAsiaTheme="minorEastAsia" w:hAnsiTheme="minorEastAsia" w:hint="eastAsia"/>
                <w:sz w:val="28"/>
                <w:szCs w:val="28"/>
              </w:rPr>
              <w:t>完善</w:t>
            </w:r>
            <w:r w:rsidR="00A412E8">
              <w:rPr>
                <w:rFonts w:asciiTheme="minorEastAsia" w:eastAsiaTheme="minorEastAsia" w:hAnsiTheme="minorEastAsia" w:hint="eastAsia"/>
                <w:sz w:val="28"/>
                <w:szCs w:val="28"/>
              </w:rPr>
              <w:t>传染病检测项目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CI1000装机</w:t>
            </w:r>
            <w:r w:rsidR="001730A8">
              <w:rPr>
                <w:rFonts w:asciiTheme="minorEastAsia" w:eastAsiaTheme="minorEastAsia" w:hAnsiTheme="minorEastAsia" w:hint="eastAsia"/>
                <w:sz w:val="28"/>
                <w:szCs w:val="28"/>
              </w:rPr>
              <w:t>用</w:t>
            </w:r>
            <w:r w:rsidR="00F76E46">
              <w:rPr>
                <w:rFonts w:asciiTheme="minorEastAsia" w:eastAsiaTheme="minorEastAsia" w:hAnsiTheme="minorEastAsia" w:hint="eastAsia"/>
                <w:sz w:val="28"/>
                <w:szCs w:val="28"/>
              </w:rPr>
              <w:t>户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F76E46">
              <w:rPr>
                <w:rFonts w:asciiTheme="minorEastAsia" w:eastAsiaTheme="minorEastAsia" w:hAnsiTheme="minorEastAsia" w:hint="eastAsia"/>
                <w:sz w:val="28"/>
                <w:szCs w:val="28"/>
              </w:rPr>
              <w:t>为二级以上医院。</w:t>
            </w:r>
          </w:p>
          <w:p w:rsidR="00B72D9D" w:rsidRDefault="00B72D9D" w:rsidP="00F22654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A7491" w:rsidRDefault="00AA7491" w:rsidP="00F22654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问：CI1000</w:t>
            </w:r>
            <w:r w:rsid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仪器的</w:t>
            </w:r>
            <w:r w:rsidR="008F249E">
              <w:rPr>
                <w:rFonts w:asciiTheme="minorEastAsia" w:eastAsiaTheme="minorEastAsia" w:hAnsiTheme="minorEastAsia" w:hint="eastAsia"/>
                <w:sz w:val="28"/>
                <w:szCs w:val="28"/>
              </w:rPr>
              <w:t>性能</w:t>
            </w:r>
            <w:r w:rsid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0427B1">
              <w:rPr>
                <w:rFonts w:asciiTheme="minorEastAsia" w:eastAsiaTheme="minorEastAsia" w:hAnsiTheme="minorEastAsia" w:hint="eastAsia"/>
                <w:sz w:val="28"/>
                <w:szCs w:val="28"/>
              </w:rPr>
              <w:t>相</w:t>
            </w:r>
            <w:r w:rsid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比其他</w:t>
            </w:r>
            <w:r w:rsidR="000427B1">
              <w:rPr>
                <w:rFonts w:asciiTheme="minorEastAsia" w:eastAsiaTheme="minorEastAsia" w:hAnsiTheme="minorEastAsia" w:hint="eastAsia"/>
                <w:sz w:val="28"/>
                <w:szCs w:val="28"/>
              </w:rPr>
              <w:t>国产品牌化学发光分析仪</w:t>
            </w:r>
            <w:r w:rsidR="00AE0E06">
              <w:rPr>
                <w:rFonts w:asciiTheme="minorEastAsia" w:eastAsiaTheme="minorEastAsia" w:hAnsiTheme="minorEastAsia" w:hint="eastAsia"/>
                <w:sz w:val="28"/>
                <w:szCs w:val="28"/>
              </w:rPr>
              <w:t>，CI1000</w:t>
            </w:r>
            <w:r w:rsidR="000427B1">
              <w:rPr>
                <w:rFonts w:asciiTheme="minorEastAsia" w:eastAsiaTheme="minorEastAsia" w:hAnsiTheme="minorEastAsia" w:hint="eastAsia"/>
                <w:sz w:val="28"/>
                <w:szCs w:val="28"/>
              </w:rPr>
              <w:t>有哪些优势？</w:t>
            </w:r>
            <w:r w:rsidR="000427B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0427B1" w:rsidRDefault="00561892" w:rsidP="00B1701C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答：公司全自动化学发光免疫分析仪</w:t>
            </w:r>
            <w:r w:rsidR="000427B1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采用磁微粒酶促化学发光免疫分析技术，</w:t>
            </w:r>
            <w:r w:rsidR="001730A8">
              <w:rPr>
                <w:rFonts w:asciiTheme="minorEastAsia" w:eastAsiaTheme="minorEastAsia" w:hAnsiTheme="minorEastAsia" w:hint="eastAsia"/>
                <w:sz w:val="28"/>
                <w:szCs w:val="28"/>
              </w:rPr>
              <w:t>测试速度为180测试/小时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9B3E22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自</w:t>
            </w:r>
            <w:r w:rsidR="009B3E22">
              <w:rPr>
                <w:rFonts w:asciiTheme="minorEastAsia" w:eastAsiaTheme="minorEastAsia" w:hAnsiTheme="minorEastAsia" w:hint="eastAsia"/>
                <w:sz w:val="28"/>
                <w:szCs w:val="28"/>
              </w:rPr>
              <w:t>上市以来，</w:t>
            </w:r>
            <w:r w:rsidR="007F3D92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终端用户反映</w:t>
            </w:r>
            <w:r w:rsidR="009B3E22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检测结果的</w:t>
            </w:r>
            <w:r w:rsidR="009B3E22" w:rsidRPr="007A38C2">
              <w:rPr>
                <w:rFonts w:asciiTheme="minorEastAsia" w:eastAsiaTheme="minorEastAsia" w:hAnsiTheme="minorEastAsia" w:hint="eastAsia"/>
                <w:sz w:val="28"/>
                <w:szCs w:val="28"/>
              </w:rPr>
              <w:t>稳定性与准确性非常好</w:t>
            </w:r>
            <w:r w:rsidR="00A962DD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A24388" w:rsidRPr="00A24388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凭借</w:t>
            </w:r>
            <w:r w:rsidR="00A90DF9" w:rsidRP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技术参数</w:t>
            </w:r>
            <w:r w:rsidR="00A90DF9">
              <w:rPr>
                <w:rFonts w:asciiTheme="minorEastAsia" w:eastAsiaTheme="minorEastAsia" w:hAnsiTheme="minorEastAsia" w:hint="eastAsia"/>
                <w:sz w:val="28"/>
                <w:szCs w:val="28"/>
              </w:rPr>
              <w:t>等评价指标</w:t>
            </w:r>
            <w:r w:rsidR="00A24388">
              <w:rPr>
                <w:rFonts w:asciiTheme="minorEastAsia" w:eastAsiaTheme="minorEastAsia" w:hAnsiTheme="minorEastAsia" w:hint="eastAsia"/>
                <w:sz w:val="28"/>
                <w:szCs w:val="28"/>
              </w:rPr>
              <w:t>高分入围</w:t>
            </w:r>
            <w:r w:rsidR="00544718">
              <w:rPr>
                <w:rFonts w:asciiTheme="minorEastAsia" w:eastAsiaTheme="minorEastAsia" w:hAnsiTheme="minorEastAsia" w:hint="eastAsia"/>
                <w:sz w:val="28"/>
                <w:szCs w:val="28"/>
              </w:rPr>
              <w:t>了</w:t>
            </w:r>
            <w:r w:rsidR="00A24388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第三批国产优秀医疗设备遴选。</w:t>
            </w:r>
          </w:p>
          <w:p w:rsidR="000427B1" w:rsidRDefault="000427B1" w:rsidP="000427B1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问：公司生化试剂是否与仪器厂家开展封闭化</w:t>
            </w:r>
            <w:r w:rsidR="00EC4346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？公司</w:t>
            </w:r>
            <w:r w:rsidR="00EC4346">
              <w:rPr>
                <w:rFonts w:asciiTheme="minorEastAsia" w:eastAsiaTheme="minorEastAsia" w:hAnsiTheme="minorEastAsia" w:hint="eastAsia"/>
                <w:sz w:val="28"/>
                <w:szCs w:val="28"/>
              </w:rPr>
              <w:t>的生化仪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是封闭系统吗？</w:t>
            </w:r>
          </w:p>
          <w:p w:rsidR="000427B1" w:rsidRDefault="000427B1" w:rsidP="000427B1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答：公司生化试剂使用</w:t>
            </w:r>
            <w:r w:rsidR="00760F15">
              <w:rPr>
                <w:rFonts w:asciiTheme="minorEastAsia" w:eastAsiaTheme="minorEastAsia" w:hAnsiTheme="minorEastAsia" w:hint="eastAsia"/>
                <w:sz w:val="28"/>
                <w:szCs w:val="28"/>
              </w:rPr>
              <w:t>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以开放系统仪器为主</w:t>
            </w:r>
            <w:r w:rsidR="00760F1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2013年公司与贝克曼库尔特合作，贝克曼全自动生化仪的指定机型中十几项生化试剂是由利德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专供的</w:t>
            </w:r>
            <w:r w:rsidR="00AE0E06">
              <w:rPr>
                <w:rFonts w:asciiTheme="minorEastAsia" w:eastAsiaTheme="minorEastAsia" w:hAnsiTheme="minorEastAsia" w:hint="eastAsia"/>
                <w:sz w:val="28"/>
                <w:szCs w:val="28"/>
              </w:rPr>
              <w:t>，未来不排除跟仪器厂商进行</w:t>
            </w:r>
            <w:r w:rsidR="00760F15">
              <w:rPr>
                <w:rFonts w:asciiTheme="minorEastAsia" w:eastAsiaTheme="minorEastAsia" w:hAnsiTheme="minorEastAsia" w:hint="eastAsia"/>
                <w:sz w:val="28"/>
                <w:szCs w:val="28"/>
              </w:rPr>
              <w:t>深入</w:t>
            </w:r>
            <w:r w:rsidR="00AE0E06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。公司</w:t>
            </w:r>
            <w:r w:rsidR="00760F15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  <w:r w:rsidR="00AE0E06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proofErr w:type="gramEnd"/>
            <w:r w:rsidR="00AE0E06">
              <w:rPr>
                <w:rFonts w:asciiTheme="minorEastAsia" w:eastAsiaTheme="minorEastAsia" w:hAnsiTheme="minorEastAsia" w:hint="eastAsia"/>
                <w:sz w:val="28"/>
                <w:szCs w:val="28"/>
              </w:rPr>
              <w:t>采用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开放系统。</w:t>
            </w:r>
          </w:p>
          <w:p w:rsidR="00B72D9D" w:rsidRDefault="00B72D9D" w:rsidP="008F249E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F249E" w:rsidRDefault="008F249E" w:rsidP="008F249E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问：请介绍德赛免疫透射比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试剂的</w:t>
            </w:r>
            <w:r w:rsidR="0063482D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情况？</w:t>
            </w:r>
          </w:p>
          <w:p w:rsidR="008F249E" w:rsidRDefault="008F249E" w:rsidP="008F249E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德</w:t>
            </w:r>
            <w:proofErr w:type="gramStart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赛拥有</w:t>
            </w:r>
            <w:proofErr w:type="gramEnd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领先的免疫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透射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比</w:t>
            </w:r>
            <w:proofErr w:type="gramStart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，其免疫透射比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试剂在全国知名三甲医院中的认可度是非常高的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</w:t>
            </w:r>
            <w:r w:rsidRPr="00016254">
              <w:rPr>
                <w:rFonts w:asciiTheme="minorEastAsia" w:eastAsiaTheme="minorEastAsia" w:hAnsiTheme="minorEastAsia" w:hint="eastAsia"/>
                <w:sz w:val="28"/>
                <w:szCs w:val="28"/>
              </w:rPr>
              <w:t>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射比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5B209D">
              <w:rPr>
                <w:rFonts w:asciiTheme="minorEastAsia" w:eastAsiaTheme="minorEastAsia" w:hAnsiTheme="minorEastAsia" w:hint="eastAsia"/>
                <w:sz w:val="28"/>
                <w:szCs w:val="28"/>
              </w:rPr>
              <w:t>销量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占德赛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</w:t>
            </w:r>
            <w:r w:rsidR="005B209D">
              <w:rPr>
                <w:rFonts w:asciiTheme="minorEastAsia" w:eastAsiaTheme="minorEastAsia" w:hAnsiTheme="minorEastAsia" w:hint="eastAsia"/>
                <w:sz w:val="28"/>
                <w:szCs w:val="28"/>
              </w:rPr>
              <w:t>销量接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近一半。</w:t>
            </w:r>
          </w:p>
          <w:p w:rsidR="00B72D9D" w:rsidRDefault="00B72D9D" w:rsidP="008F249E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F249E" w:rsidRDefault="00D23D57" w:rsidP="008F249E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701FB4">
              <w:rPr>
                <w:rFonts w:asciiTheme="minorEastAsia" w:eastAsiaTheme="minorEastAsia" w:hAnsiTheme="minorEastAsia" w:hint="eastAsia"/>
                <w:sz w:val="28"/>
                <w:szCs w:val="28"/>
              </w:rPr>
              <w:t>如何看待POCT产品，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是否会</w:t>
            </w:r>
            <w:r w:rsidR="00701FB4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</w:t>
            </w:r>
            <w:r w:rsidR="009B3E22">
              <w:rPr>
                <w:rFonts w:asciiTheme="minorEastAsia" w:eastAsiaTheme="minorEastAsia" w:hAnsiTheme="minorEastAsia" w:hint="eastAsia"/>
                <w:sz w:val="28"/>
                <w:szCs w:val="28"/>
              </w:rPr>
              <w:t>POCT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和</w:t>
            </w:r>
            <w:r w:rsidR="009B3E22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诊断类产品</w:t>
            </w:r>
            <w:r w:rsidR="009B3E22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9B3E22" w:rsidRDefault="009B3E22" w:rsidP="008F249E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POCT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是体外诊断行业</w:t>
            </w:r>
            <w:r w:rsidR="00824BBD">
              <w:rPr>
                <w:rFonts w:asciiTheme="minorEastAsia" w:eastAsiaTheme="minorEastAsia" w:hAnsiTheme="minorEastAsia" w:hint="eastAsia"/>
                <w:sz w:val="28"/>
                <w:szCs w:val="28"/>
              </w:rPr>
              <w:t>发展的重要方向</w:t>
            </w:r>
            <w:r w:rsidR="00C36237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824BBD">
              <w:rPr>
                <w:rFonts w:asciiTheme="minorEastAsia" w:eastAsiaTheme="minorEastAsia" w:hAnsiTheme="minorEastAsia" w:hint="eastAsia"/>
                <w:sz w:val="28"/>
                <w:szCs w:val="28"/>
              </w:rPr>
              <w:t>POCT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和分子诊断</w:t>
            </w:r>
            <w:r w:rsidR="00E31F05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C36237">
              <w:rPr>
                <w:rFonts w:asciiTheme="minorEastAsia" w:eastAsiaTheme="minorEastAsia" w:hAnsiTheme="minorEastAsia" w:hint="eastAsia"/>
                <w:sz w:val="28"/>
                <w:szCs w:val="28"/>
              </w:rPr>
              <w:t>是公司</w:t>
            </w:r>
            <w:r w:rsidR="00FF12F2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</w:t>
            </w:r>
            <w:r w:rsidR="00C36237">
              <w:rPr>
                <w:rFonts w:asciiTheme="minorEastAsia" w:eastAsiaTheme="minorEastAsia" w:hAnsiTheme="minorEastAsia" w:hint="eastAsia"/>
                <w:sz w:val="28"/>
                <w:szCs w:val="28"/>
              </w:rPr>
              <w:t>重点工作之一</w:t>
            </w:r>
            <w:r w:rsidR="00804BB2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，公司在上海设有分子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</w:t>
            </w:r>
            <w:r w:rsidR="00804BB2">
              <w:rPr>
                <w:rFonts w:asciiTheme="minorEastAsia" w:eastAsiaTheme="minorEastAsia" w:hAnsiTheme="minorEastAsia" w:hint="eastAsia"/>
                <w:sz w:val="28"/>
                <w:szCs w:val="28"/>
              </w:rPr>
              <w:t>实验室，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由上海德赛负责</w:t>
            </w:r>
            <w:r w:rsidR="00804BB2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分子项目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研发工作</w:t>
            </w:r>
            <w:r w:rsid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C4A63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proofErr w:type="gramStart"/>
            <w:r w:rsidR="009C4A63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9C4A63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项目包括</w:t>
            </w:r>
            <w:r w:rsidR="006E5F12">
              <w:rPr>
                <w:rFonts w:asciiTheme="minorEastAsia" w:eastAsiaTheme="minorEastAsia" w:hAnsiTheme="minorEastAsia" w:hint="eastAsia"/>
                <w:sz w:val="28"/>
                <w:szCs w:val="28"/>
              </w:rPr>
              <w:t>叶酸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利用能力遗传</w:t>
            </w:r>
            <w:r w:rsidR="006E5F12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</w:t>
            </w:r>
            <w:r w:rsid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分子诊断试剂盒</w:t>
            </w:r>
            <w:r w:rsidR="0024372B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446FFC" w:rsidRP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侵袭性念珠</w:t>
            </w:r>
            <w:proofErr w:type="gramStart"/>
            <w:r w:rsidR="00446FFC" w:rsidRP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菌</w:t>
            </w:r>
            <w:proofErr w:type="gramEnd"/>
            <w:r w:rsidR="00446FFC" w:rsidRP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感染胞外游离DNA(</w:t>
            </w:r>
            <w:proofErr w:type="spellStart"/>
            <w:r w:rsidR="00446FFC" w:rsidRP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cfDNA</w:t>
            </w:r>
            <w:proofErr w:type="spellEnd"/>
            <w:r w:rsidR="00446FFC" w:rsidRPr="00446FFC">
              <w:rPr>
                <w:rFonts w:asciiTheme="minorEastAsia" w:eastAsiaTheme="minorEastAsia" w:hAnsiTheme="minorEastAsia" w:hint="eastAsia"/>
                <w:sz w:val="28"/>
                <w:szCs w:val="28"/>
              </w:rPr>
              <w:t>)快速核酸诊断试剂盒</w:t>
            </w:r>
            <w:r w:rsidR="00845C57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9C4A63">
              <w:rPr>
                <w:rFonts w:asciiTheme="minorEastAsia" w:eastAsiaTheme="minorEastAsia" w:hAnsiTheme="minorEastAsia" w:hint="eastAsia"/>
                <w:sz w:val="28"/>
                <w:szCs w:val="28"/>
              </w:rPr>
              <w:t>北京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研发部门重点</w:t>
            </w:r>
            <w:r w:rsidR="009C4A63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负责免疫类</w:t>
            </w:r>
            <w:r w:rsidR="0015625B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9C4A63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生化类</w:t>
            </w:r>
            <w:r w:rsidR="0015625B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、相关</w:t>
            </w:r>
            <w:r w:rsidR="00804BB2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诊断仪器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15625B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</w:t>
            </w:r>
            <w:r w:rsidR="00804BB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B72D9D" w:rsidRPr="005B209D" w:rsidRDefault="00B72D9D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60337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</w:t>
            </w:r>
            <w:r w:rsidR="00B57323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IDS</w:t>
            </w:r>
            <w:r w:rsidR="003F6DE7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合作的机器销售情况</w:t>
            </w:r>
            <w:r w:rsidR="00427A84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AA7491" w:rsidDel="00AA749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  <w:p w:rsidR="00460337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</w:t>
            </w:r>
            <w:r w:rsidR="00CF2B8F">
              <w:rPr>
                <w:rFonts w:asciiTheme="minorEastAsia" w:eastAsiaTheme="minorEastAsia" w:hAnsiTheme="minorEastAsia" w:hint="eastAsia"/>
                <w:sz w:val="28"/>
                <w:szCs w:val="28"/>
              </w:rPr>
              <w:t>上市公司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IDS从2013年开展合作，</w:t>
            </w:r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独家代理IDS-</w:t>
            </w:r>
            <w:proofErr w:type="spellStart"/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全自动免疫检测平台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E70138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检测项目包括钙代谢、骨代谢、生长因子等。</w:t>
            </w:r>
            <w:r w:rsidR="003F6DE7">
              <w:rPr>
                <w:rFonts w:asciiTheme="minorEastAsia" w:eastAsiaTheme="minorEastAsia" w:hAnsiTheme="minorEastAsia" w:hint="eastAsia"/>
                <w:sz w:val="28"/>
                <w:szCs w:val="28"/>
              </w:rPr>
              <w:t>IDS</w:t>
            </w:r>
            <w:r w:rsidR="003F6DE7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proofErr w:type="spellStart"/>
            <w:r w:rsidR="003F6DE7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6F544E">
              <w:rPr>
                <w:rFonts w:asciiTheme="minorEastAsia" w:eastAsiaTheme="minorEastAsia" w:hAnsiTheme="minorEastAsia" w:hint="eastAsia"/>
                <w:sz w:val="28"/>
                <w:szCs w:val="28"/>
              </w:rPr>
              <w:t>自2015</w:t>
            </w:r>
            <w:r w:rsidR="006E5F12">
              <w:rPr>
                <w:rFonts w:asciiTheme="minorEastAsia" w:eastAsiaTheme="minorEastAsia" w:hAnsiTheme="minorEastAsia" w:hint="eastAsia"/>
                <w:sz w:val="28"/>
                <w:szCs w:val="28"/>
              </w:rPr>
              <w:t>年上市销售，</w:t>
            </w:r>
            <w:r w:rsidR="008317B1">
              <w:rPr>
                <w:rFonts w:asciiTheme="minorEastAsia" w:eastAsiaTheme="minorEastAsia" w:hAnsiTheme="minorEastAsia" w:hint="eastAsia"/>
                <w:sz w:val="28"/>
                <w:szCs w:val="28"/>
              </w:rPr>
              <w:t>已</w:t>
            </w:r>
            <w:r w:rsidR="006E5F12">
              <w:rPr>
                <w:rFonts w:asciiTheme="minorEastAsia" w:eastAsiaTheme="minorEastAsia" w:hAnsiTheme="minorEastAsia" w:hint="eastAsia"/>
                <w:sz w:val="28"/>
                <w:szCs w:val="28"/>
              </w:rPr>
              <w:t>有</w:t>
            </w:r>
            <w:r w:rsidR="008317B1">
              <w:rPr>
                <w:rFonts w:asciiTheme="minorEastAsia" w:eastAsiaTheme="minorEastAsia" w:hAnsiTheme="minorEastAsia" w:hint="eastAsia"/>
                <w:sz w:val="28"/>
                <w:szCs w:val="28"/>
              </w:rPr>
              <w:t>部分</w:t>
            </w:r>
            <w:r w:rsidR="006F544E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C340B3">
              <w:rPr>
                <w:rFonts w:asciiTheme="minorEastAsia" w:eastAsiaTheme="minorEastAsia" w:hAnsiTheme="minorEastAsia" w:hint="eastAsia"/>
                <w:sz w:val="28"/>
                <w:szCs w:val="28"/>
              </w:rPr>
              <w:t>装机，</w:t>
            </w:r>
            <w:r w:rsidR="00EB71D4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终端用户主要</w:t>
            </w:r>
            <w:r w:rsidR="00F67146">
              <w:rPr>
                <w:rFonts w:asciiTheme="minorEastAsia" w:eastAsiaTheme="minorEastAsia" w:hAnsiTheme="minorEastAsia" w:hint="eastAsia"/>
                <w:sz w:val="28"/>
                <w:szCs w:val="28"/>
              </w:rPr>
              <w:t>为</w:t>
            </w:r>
            <w:r w:rsidR="00EB71D4">
              <w:rPr>
                <w:rFonts w:asciiTheme="minorEastAsia" w:eastAsiaTheme="minorEastAsia" w:hAnsiTheme="minorEastAsia" w:hint="eastAsia"/>
                <w:sz w:val="28"/>
                <w:szCs w:val="28"/>
              </w:rPr>
              <w:t>三甲医院。</w:t>
            </w:r>
          </w:p>
          <w:p w:rsidR="00B72D9D" w:rsidRPr="00EB71D4" w:rsidRDefault="00B72D9D" w:rsidP="00A855E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855E6" w:rsidRDefault="00A855E6" w:rsidP="00A855E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</w:t>
            </w:r>
            <w:r w:rsidR="0021607A">
              <w:rPr>
                <w:rFonts w:asciiTheme="minorEastAsia" w:eastAsiaTheme="minorEastAsia" w:hAnsiTheme="minorEastAsia" w:hint="eastAsia"/>
                <w:sz w:val="28"/>
                <w:szCs w:val="28"/>
              </w:rPr>
              <w:t>对未来发展方向的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想法？</w:t>
            </w:r>
          </w:p>
          <w:p w:rsidR="009B3E22" w:rsidRPr="009B3E22" w:rsidRDefault="00A855E6" w:rsidP="009F0635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公司核心优势</w:t>
            </w:r>
            <w:r w:rsidR="003A07A6">
              <w:rPr>
                <w:rFonts w:asciiTheme="minorEastAsia" w:eastAsiaTheme="minorEastAsia" w:hAnsiTheme="minorEastAsia" w:hint="eastAsia"/>
                <w:sz w:val="28"/>
                <w:szCs w:val="28"/>
              </w:rPr>
              <w:t>重点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在技术、研发、产品质量等方面，</w:t>
            </w:r>
            <w:r w:rsidR="006F544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公司将</w:t>
            </w:r>
            <w:r w:rsidR="0000674F" w:rsidRP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不断丰富体外诊断产品线并尽快实现产业化；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结合行业</w:t>
            </w:r>
            <w:r w:rsidR="00AB0DD3">
              <w:rPr>
                <w:rFonts w:asciiTheme="minorEastAsia" w:eastAsiaTheme="minorEastAsia" w:hAnsiTheme="minorEastAsia" w:hint="eastAsia"/>
                <w:sz w:val="28"/>
                <w:szCs w:val="28"/>
              </w:rPr>
              <w:t>新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</w:t>
            </w:r>
            <w:r w:rsidR="00AB0DD3">
              <w:rPr>
                <w:rFonts w:asciiTheme="minorEastAsia" w:eastAsiaTheme="minorEastAsia" w:hAnsiTheme="minorEastAsia" w:hint="eastAsia"/>
                <w:sz w:val="28"/>
                <w:szCs w:val="28"/>
              </w:rPr>
              <w:t>的不断出台</w:t>
            </w:r>
            <w:r w:rsidR="0087769A">
              <w:rPr>
                <w:rFonts w:asciiTheme="minorEastAsia" w:eastAsiaTheme="minorEastAsia" w:hAnsiTheme="minorEastAsia" w:hint="eastAsia"/>
                <w:sz w:val="28"/>
                <w:szCs w:val="28"/>
              </w:rPr>
              <w:t>以及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市场变化，</w:t>
            </w:r>
            <w:r w:rsidR="00AB0DD3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公司将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适</w:t>
            </w:r>
            <w:r w:rsidR="00AB0DD3">
              <w:rPr>
                <w:rFonts w:asciiTheme="minorEastAsia" w:eastAsiaTheme="minorEastAsia" w:hAnsiTheme="minorEastAsia" w:hint="eastAsia"/>
                <w:sz w:val="28"/>
                <w:szCs w:val="28"/>
              </w:rPr>
              <w:t>时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调整渠道结构和经营模式</w:t>
            </w:r>
            <w:r w:rsidR="0000674F" w:rsidRP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2C7229">
              <w:rPr>
                <w:rFonts w:asciiTheme="minorEastAsia" w:eastAsiaTheme="minorEastAsia" w:hAnsiTheme="minorEastAsia" w:hint="eastAsia"/>
                <w:sz w:val="28"/>
                <w:szCs w:val="28"/>
              </w:rPr>
              <w:t>以自建和外延等方式向产业链下游延伸布局，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加强行业内的</w:t>
            </w:r>
            <w:r w:rsidR="0000674F" w:rsidRP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，特别是与</w:t>
            </w:r>
            <w:r w:rsidR="003A07A6">
              <w:rPr>
                <w:rFonts w:asciiTheme="minorEastAsia" w:eastAsiaTheme="minorEastAsia" w:hAnsiTheme="minorEastAsia" w:hint="eastAsia"/>
                <w:sz w:val="28"/>
                <w:szCs w:val="28"/>
              </w:rPr>
              <w:t>下游</w:t>
            </w:r>
            <w:r w:rsidR="009F0635">
              <w:rPr>
                <w:rFonts w:asciiTheme="minorEastAsia" w:eastAsiaTheme="minorEastAsia" w:hAnsiTheme="minorEastAsia" w:hint="eastAsia"/>
                <w:sz w:val="28"/>
                <w:szCs w:val="28"/>
              </w:rPr>
              <w:t>各级</w:t>
            </w:r>
            <w:r w:rsidR="0024372B">
              <w:rPr>
                <w:rFonts w:asciiTheme="minorEastAsia" w:eastAsiaTheme="minorEastAsia" w:hAnsiTheme="minorEastAsia" w:hint="eastAsia"/>
                <w:sz w:val="28"/>
                <w:szCs w:val="28"/>
              </w:rPr>
              <w:t>渠道</w:t>
            </w:r>
            <w:r w:rsidR="002C7229">
              <w:rPr>
                <w:rFonts w:asciiTheme="minorEastAsia" w:eastAsiaTheme="minorEastAsia" w:hAnsiTheme="minorEastAsia" w:hint="eastAsia"/>
                <w:sz w:val="28"/>
                <w:szCs w:val="28"/>
              </w:rPr>
              <w:t>商</w:t>
            </w:r>
            <w:r w:rsidR="0024372B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2C7229">
              <w:rPr>
                <w:rFonts w:asciiTheme="minorEastAsia" w:eastAsiaTheme="minorEastAsia" w:hAnsiTheme="minorEastAsia" w:hint="eastAsia"/>
                <w:sz w:val="28"/>
                <w:szCs w:val="28"/>
              </w:rPr>
              <w:t>流通企业、</w:t>
            </w:r>
            <w:r w:rsidR="0000674F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终端用户的合作</w:t>
            </w:r>
            <w:r w:rsidR="0087769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BA" w:rsidRDefault="00B82633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</w:p>
          <w:p w:rsidR="004A370E" w:rsidRPr="00640E7E" w:rsidRDefault="00640E7E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0A7E2D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57323" w:rsidP="0021607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21607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7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21607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3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21607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16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:rsidR="004A370E" w:rsidRDefault="004A370E"/>
    <w:sectPr w:rsidR="004A370E" w:rsidSect="00DB60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27" w:rsidRDefault="003E7B27" w:rsidP="00A13681">
      <w:r>
        <w:separator/>
      </w:r>
    </w:p>
  </w:endnote>
  <w:endnote w:type="continuationSeparator" w:id="0">
    <w:p w:rsidR="003E7B27" w:rsidRDefault="003E7B27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27" w:rsidRDefault="003E7B27" w:rsidP="00A13681">
      <w:r>
        <w:separator/>
      </w:r>
    </w:p>
  </w:footnote>
  <w:footnote w:type="continuationSeparator" w:id="0">
    <w:p w:rsidR="003E7B27" w:rsidRDefault="003E7B27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00B79"/>
    <w:rsid w:val="000023DF"/>
    <w:rsid w:val="00002645"/>
    <w:rsid w:val="0000674F"/>
    <w:rsid w:val="00011928"/>
    <w:rsid w:val="00013549"/>
    <w:rsid w:val="00016254"/>
    <w:rsid w:val="00020FAA"/>
    <w:rsid w:val="00025D3A"/>
    <w:rsid w:val="00027831"/>
    <w:rsid w:val="00030C5A"/>
    <w:rsid w:val="00035431"/>
    <w:rsid w:val="000427B1"/>
    <w:rsid w:val="00044F3D"/>
    <w:rsid w:val="0004535D"/>
    <w:rsid w:val="0004665E"/>
    <w:rsid w:val="00047376"/>
    <w:rsid w:val="000474E3"/>
    <w:rsid w:val="00053277"/>
    <w:rsid w:val="0005658C"/>
    <w:rsid w:val="00061D89"/>
    <w:rsid w:val="000718EB"/>
    <w:rsid w:val="00076469"/>
    <w:rsid w:val="000806C6"/>
    <w:rsid w:val="00082D58"/>
    <w:rsid w:val="00086F10"/>
    <w:rsid w:val="000957F6"/>
    <w:rsid w:val="000A0516"/>
    <w:rsid w:val="000A213A"/>
    <w:rsid w:val="000A7E2D"/>
    <w:rsid w:val="000B7764"/>
    <w:rsid w:val="000B7D18"/>
    <w:rsid w:val="000C1115"/>
    <w:rsid w:val="000C7A61"/>
    <w:rsid w:val="000D140F"/>
    <w:rsid w:val="000D1472"/>
    <w:rsid w:val="000E04C8"/>
    <w:rsid w:val="000E0A0C"/>
    <w:rsid w:val="000E0FB4"/>
    <w:rsid w:val="000E1E32"/>
    <w:rsid w:val="000E341F"/>
    <w:rsid w:val="000E5564"/>
    <w:rsid w:val="000E558E"/>
    <w:rsid w:val="000F2D5B"/>
    <w:rsid w:val="000F34DD"/>
    <w:rsid w:val="000F533A"/>
    <w:rsid w:val="00100D39"/>
    <w:rsid w:val="00100DB3"/>
    <w:rsid w:val="001014A1"/>
    <w:rsid w:val="001073FF"/>
    <w:rsid w:val="0011148D"/>
    <w:rsid w:val="00114A8F"/>
    <w:rsid w:val="00120BEB"/>
    <w:rsid w:val="00127BB1"/>
    <w:rsid w:val="0013102E"/>
    <w:rsid w:val="00140A39"/>
    <w:rsid w:val="00151806"/>
    <w:rsid w:val="0015625B"/>
    <w:rsid w:val="00166022"/>
    <w:rsid w:val="00172DBD"/>
    <w:rsid w:val="001730A8"/>
    <w:rsid w:val="0017422B"/>
    <w:rsid w:val="00180C4F"/>
    <w:rsid w:val="0019113E"/>
    <w:rsid w:val="00193E6F"/>
    <w:rsid w:val="00196087"/>
    <w:rsid w:val="001A4676"/>
    <w:rsid w:val="001B21BE"/>
    <w:rsid w:val="001B46F9"/>
    <w:rsid w:val="001C6D44"/>
    <w:rsid w:val="001D13FB"/>
    <w:rsid w:val="001E062E"/>
    <w:rsid w:val="001E0BEB"/>
    <w:rsid w:val="001E2AF4"/>
    <w:rsid w:val="001F2F12"/>
    <w:rsid w:val="001F6416"/>
    <w:rsid w:val="001F6A4B"/>
    <w:rsid w:val="00202B9C"/>
    <w:rsid w:val="0020399F"/>
    <w:rsid w:val="0021133B"/>
    <w:rsid w:val="0021607A"/>
    <w:rsid w:val="00216858"/>
    <w:rsid w:val="00230956"/>
    <w:rsid w:val="002333FC"/>
    <w:rsid w:val="00235865"/>
    <w:rsid w:val="00236333"/>
    <w:rsid w:val="0024069B"/>
    <w:rsid w:val="00241EDA"/>
    <w:rsid w:val="0024372B"/>
    <w:rsid w:val="00244162"/>
    <w:rsid w:val="002459A5"/>
    <w:rsid w:val="00246B5B"/>
    <w:rsid w:val="00252A27"/>
    <w:rsid w:val="002541AA"/>
    <w:rsid w:val="002545B0"/>
    <w:rsid w:val="00255C04"/>
    <w:rsid w:val="00261FCE"/>
    <w:rsid w:val="002648CD"/>
    <w:rsid w:val="0026507F"/>
    <w:rsid w:val="002661DF"/>
    <w:rsid w:val="0026752A"/>
    <w:rsid w:val="00275214"/>
    <w:rsid w:val="00276830"/>
    <w:rsid w:val="0027753A"/>
    <w:rsid w:val="00277B76"/>
    <w:rsid w:val="00280866"/>
    <w:rsid w:val="00291AD5"/>
    <w:rsid w:val="002A554A"/>
    <w:rsid w:val="002C4CE6"/>
    <w:rsid w:val="002C6694"/>
    <w:rsid w:val="002C7229"/>
    <w:rsid w:val="002D108D"/>
    <w:rsid w:val="002D1237"/>
    <w:rsid w:val="002D41F8"/>
    <w:rsid w:val="002D5639"/>
    <w:rsid w:val="002D73F0"/>
    <w:rsid w:val="002D7DDC"/>
    <w:rsid w:val="002F3EE7"/>
    <w:rsid w:val="002F3F30"/>
    <w:rsid w:val="002F49D2"/>
    <w:rsid w:val="003024E9"/>
    <w:rsid w:val="0030356B"/>
    <w:rsid w:val="00303FEF"/>
    <w:rsid w:val="003119DD"/>
    <w:rsid w:val="00312EEE"/>
    <w:rsid w:val="00321BAB"/>
    <w:rsid w:val="00326E0A"/>
    <w:rsid w:val="003272DD"/>
    <w:rsid w:val="00330CAE"/>
    <w:rsid w:val="00333809"/>
    <w:rsid w:val="0034154C"/>
    <w:rsid w:val="00341B0F"/>
    <w:rsid w:val="003475B8"/>
    <w:rsid w:val="00347C93"/>
    <w:rsid w:val="00353868"/>
    <w:rsid w:val="003674A5"/>
    <w:rsid w:val="003739F5"/>
    <w:rsid w:val="00374EA0"/>
    <w:rsid w:val="00381ADD"/>
    <w:rsid w:val="00382ABC"/>
    <w:rsid w:val="00384726"/>
    <w:rsid w:val="003860C3"/>
    <w:rsid w:val="003861D3"/>
    <w:rsid w:val="00392134"/>
    <w:rsid w:val="00392C70"/>
    <w:rsid w:val="003962C7"/>
    <w:rsid w:val="003A07A6"/>
    <w:rsid w:val="003A07F3"/>
    <w:rsid w:val="003A1C02"/>
    <w:rsid w:val="003A1C8A"/>
    <w:rsid w:val="003A1D71"/>
    <w:rsid w:val="003A1E96"/>
    <w:rsid w:val="003A2E79"/>
    <w:rsid w:val="003B05E2"/>
    <w:rsid w:val="003B0DD4"/>
    <w:rsid w:val="003B2808"/>
    <w:rsid w:val="003C5460"/>
    <w:rsid w:val="003C64D5"/>
    <w:rsid w:val="003D278F"/>
    <w:rsid w:val="003D367A"/>
    <w:rsid w:val="003E25F7"/>
    <w:rsid w:val="003E7B27"/>
    <w:rsid w:val="003F5A12"/>
    <w:rsid w:val="003F6DE7"/>
    <w:rsid w:val="003F73E9"/>
    <w:rsid w:val="00400120"/>
    <w:rsid w:val="0040055D"/>
    <w:rsid w:val="004017B1"/>
    <w:rsid w:val="00402D43"/>
    <w:rsid w:val="00404CEF"/>
    <w:rsid w:val="00410CC8"/>
    <w:rsid w:val="00422A86"/>
    <w:rsid w:val="004233FB"/>
    <w:rsid w:val="00424755"/>
    <w:rsid w:val="00425428"/>
    <w:rsid w:val="00427A84"/>
    <w:rsid w:val="00427A85"/>
    <w:rsid w:val="004322AF"/>
    <w:rsid w:val="00432571"/>
    <w:rsid w:val="0043482D"/>
    <w:rsid w:val="00437A6F"/>
    <w:rsid w:val="004443B1"/>
    <w:rsid w:val="0044654A"/>
    <w:rsid w:val="00446FFC"/>
    <w:rsid w:val="004514F7"/>
    <w:rsid w:val="00451859"/>
    <w:rsid w:val="00453E46"/>
    <w:rsid w:val="004551A7"/>
    <w:rsid w:val="004569C5"/>
    <w:rsid w:val="00460337"/>
    <w:rsid w:val="00462750"/>
    <w:rsid w:val="004640AF"/>
    <w:rsid w:val="004650B0"/>
    <w:rsid w:val="004661C3"/>
    <w:rsid w:val="00466CA7"/>
    <w:rsid w:val="00471349"/>
    <w:rsid w:val="00471914"/>
    <w:rsid w:val="004762B7"/>
    <w:rsid w:val="00476E84"/>
    <w:rsid w:val="00486CF4"/>
    <w:rsid w:val="004872EC"/>
    <w:rsid w:val="00491D18"/>
    <w:rsid w:val="004A290B"/>
    <w:rsid w:val="004A370E"/>
    <w:rsid w:val="004A5C0E"/>
    <w:rsid w:val="004B3A12"/>
    <w:rsid w:val="004B6C9A"/>
    <w:rsid w:val="004B7D52"/>
    <w:rsid w:val="004C344C"/>
    <w:rsid w:val="004C3736"/>
    <w:rsid w:val="004C4D38"/>
    <w:rsid w:val="004D0AE5"/>
    <w:rsid w:val="004D5D77"/>
    <w:rsid w:val="004D5E14"/>
    <w:rsid w:val="004E312D"/>
    <w:rsid w:val="004E3336"/>
    <w:rsid w:val="004E33CB"/>
    <w:rsid w:val="004E4042"/>
    <w:rsid w:val="004E4C6D"/>
    <w:rsid w:val="004F24CB"/>
    <w:rsid w:val="004F6DCE"/>
    <w:rsid w:val="00500EC6"/>
    <w:rsid w:val="005023A6"/>
    <w:rsid w:val="00510140"/>
    <w:rsid w:val="00510FDD"/>
    <w:rsid w:val="00515E15"/>
    <w:rsid w:val="00523BC1"/>
    <w:rsid w:val="005261D0"/>
    <w:rsid w:val="00536F1F"/>
    <w:rsid w:val="00537139"/>
    <w:rsid w:val="0053782E"/>
    <w:rsid w:val="00541DC6"/>
    <w:rsid w:val="00544718"/>
    <w:rsid w:val="0054730A"/>
    <w:rsid w:val="0054767F"/>
    <w:rsid w:val="00551D6E"/>
    <w:rsid w:val="00554251"/>
    <w:rsid w:val="00554A1F"/>
    <w:rsid w:val="00561892"/>
    <w:rsid w:val="00561DB4"/>
    <w:rsid w:val="00563A17"/>
    <w:rsid w:val="00566449"/>
    <w:rsid w:val="005676BA"/>
    <w:rsid w:val="005738E1"/>
    <w:rsid w:val="00574161"/>
    <w:rsid w:val="0057466F"/>
    <w:rsid w:val="005755F1"/>
    <w:rsid w:val="005828CB"/>
    <w:rsid w:val="00583ABD"/>
    <w:rsid w:val="00583C2F"/>
    <w:rsid w:val="00585EEF"/>
    <w:rsid w:val="005860C5"/>
    <w:rsid w:val="00595433"/>
    <w:rsid w:val="005A10B2"/>
    <w:rsid w:val="005A487E"/>
    <w:rsid w:val="005B0178"/>
    <w:rsid w:val="005B209D"/>
    <w:rsid w:val="005B5DB5"/>
    <w:rsid w:val="005B655D"/>
    <w:rsid w:val="005B6BF5"/>
    <w:rsid w:val="005B7A6B"/>
    <w:rsid w:val="005C112C"/>
    <w:rsid w:val="005C4612"/>
    <w:rsid w:val="005C78B9"/>
    <w:rsid w:val="005E023D"/>
    <w:rsid w:val="005E2B04"/>
    <w:rsid w:val="005E4883"/>
    <w:rsid w:val="005E4941"/>
    <w:rsid w:val="005F0F6B"/>
    <w:rsid w:val="005F5739"/>
    <w:rsid w:val="005F754E"/>
    <w:rsid w:val="00601F17"/>
    <w:rsid w:val="00604027"/>
    <w:rsid w:val="00607ED5"/>
    <w:rsid w:val="00616465"/>
    <w:rsid w:val="00626CC0"/>
    <w:rsid w:val="006328F7"/>
    <w:rsid w:val="0063482D"/>
    <w:rsid w:val="00640E7E"/>
    <w:rsid w:val="00641A88"/>
    <w:rsid w:val="006427A6"/>
    <w:rsid w:val="0064389E"/>
    <w:rsid w:val="00651E26"/>
    <w:rsid w:val="00662C65"/>
    <w:rsid w:val="00672B06"/>
    <w:rsid w:val="0067486F"/>
    <w:rsid w:val="0068537E"/>
    <w:rsid w:val="0069263C"/>
    <w:rsid w:val="0069272C"/>
    <w:rsid w:val="0069661F"/>
    <w:rsid w:val="006A0331"/>
    <w:rsid w:val="006A32EA"/>
    <w:rsid w:val="006A5C66"/>
    <w:rsid w:val="006A5F4A"/>
    <w:rsid w:val="006A6099"/>
    <w:rsid w:val="006A6E4E"/>
    <w:rsid w:val="006C1D14"/>
    <w:rsid w:val="006C31B2"/>
    <w:rsid w:val="006D18DF"/>
    <w:rsid w:val="006D23E0"/>
    <w:rsid w:val="006D7DD3"/>
    <w:rsid w:val="006E09AB"/>
    <w:rsid w:val="006E4EBA"/>
    <w:rsid w:val="006E5F12"/>
    <w:rsid w:val="006F293C"/>
    <w:rsid w:val="006F544E"/>
    <w:rsid w:val="007001CE"/>
    <w:rsid w:val="00701FB4"/>
    <w:rsid w:val="007020A6"/>
    <w:rsid w:val="00725026"/>
    <w:rsid w:val="00725619"/>
    <w:rsid w:val="00732278"/>
    <w:rsid w:val="007324AD"/>
    <w:rsid w:val="00734F7E"/>
    <w:rsid w:val="00735A36"/>
    <w:rsid w:val="0075224B"/>
    <w:rsid w:val="00753D5D"/>
    <w:rsid w:val="00757573"/>
    <w:rsid w:val="007603BE"/>
    <w:rsid w:val="00760F15"/>
    <w:rsid w:val="007622BC"/>
    <w:rsid w:val="0076347D"/>
    <w:rsid w:val="00773280"/>
    <w:rsid w:val="0078314D"/>
    <w:rsid w:val="00783BDD"/>
    <w:rsid w:val="00783E05"/>
    <w:rsid w:val="007849E4"/>
    <w:rsid w:val="007865CA"/>
    <w:rsid w:val="00787177"/>
    <w:rsid w:val="00792269"/>
    <w:rsid w:val="007922AB"/>
    <w:rsid w:val="007950D3"/>
    <w:rsid w:val="007976B5"/>
    <w:rsid w:val="007A0AE8"/>
    <w:rsid w:val="007B4F86"/>
    <w:rsid w:val="007C0190"/>
    <w:rsid w:val="007C0B3F"/>
    <w:rsid w:val="007D022C"/>
    <w:rsid w:val="007D7AFE"/>
    <w:rsid w:val="007E11BB"/>
    <w:rsid w:val="007E219F"/>
    <w:rsid w:val="007E3A37"/>
    <w:rsid w:val="007E5E6E"/>
    <w:rsid w:val="007F24F5"/>
    <w:rsid w:val="007F3D92"/>
    <w:rsid w:val="007F65E2"/>
    <w:rsid w:val="0080049F"/>
    <w:rsid w:val="00804BB2"/>
    <w:rsid w:val="00811BF2"/>
    <w:rsid w:val="008122BE"/>
    <w:rsid w:val="0081564A"/>
    <w:rsid w:val="00821673"/>
    <w:rsid w:val="00821F65"/>
    <w:rsid w:val="00823967"/>
    <w:rsid w:val="00824BBD"/>
    <w:rsid w:val="00826B23"/>
    <w:rsid w:val="00826BF0"/>
    <w:rsid w:val="008317B1"/>
    <w:rsid w:val="00836E71"/>
    <w:rsid w:val="00837828"/>
    <w:rsid w:val="00843B42"/>
    <w:rsid w:val="00845C57"/>
    <w:rsid w:val="008502B4"/>
    <w:rsid w:val="00851033"/>
    <w:rsid w:val="00852B2F"/>
    <w:rsid w:val="00854291"/>
    <w:rsid w:val="00855D00"/>
    <w:rsid w:val="00862F55"/>
    <w:rsid w:val="00867E05"/>
    <w:rsid w:val="00870FBB"/>
    <w:rsid w:val="0087769A"/>
    <w:rsid w:val="00883C8D"/>
    <w:rsid w:val="00884504"/>
    <w:rsid w:val="00895CED"/>
    <w:rsid w:val="00895E1A"/>
    <w:rsid w:val="00895FCE"/>
    <w:rsid w:val="008B144B"/>
    <w:rsid w:val="008B300D"/>
    <w:rsid w:val="008B4147"/>
    <w:rsid w:val="008C3CC5"/>
    <w:rsid w:val="008C5548"/>
    <w:rsid w:val="008C5C4C"/>
    <w:rsid w:val="008C6471"/>
    <w:rsid w:val="008D770D"/>
    <w:rsid w:val="008D7C6F"/>
    <w:rsid w:val="008E76BB"/>
    <w:rsid w:val="008F249E"/>
    <w:rsid w:val="008F5965"/>
    <w:rsid w:val="008F62C5"/>
    <w:rsid w:val="00901AE4"/>
    <w:rsid w:val="00907510"/>
    <w:rsid w:val="00907F71"/>
    <w:rsid w:val="009133A5"/>
    <w:rsid w:val="0091715F"/>
    <w:rsid w:val="009171F5"/>
    <w:rsid w:val="0092350C"/>
    <w:rsid w:val="00933640"/>
    <w:rsid w:val="00936809"/>
    <w:rsid w:val="00944261"/>
    <w:rsid w:val="0094708E"/>
    <w:rsid w:val="00950BF1"/>
    <w:rsid w:val="0095364E"/>
    <w:rsid w:val="009557FC"/>
    <w:rsid w:val="00955E35"/>
    <w:rsid w:val="00961A3C"/>
    <w:rsid w:val="009621FC"/>
    <w:rsid w:val="009677D4"/>
    <w:rsid w:val="00971822"/>
    <w:rsid w:val="009726B6"/>
    <w:rsid w:val="0097375B"/>
    <w:rsid w:val="009851CF"/>
    <w:rsid w:val="00987712"/>
    <w:rsid w:val="0099020B"/>
    <w:rsid w:val="00992604"/>
    <w:rsid w:val="0099360B"/>
    <w:rsid w:val="009A271C"/>
    <w:rsid w:val="009A7C69"/>
    <w:rsid w:val="009B3E22"/>
    <w:rsid w:val="009B45A4"/>
    <w:rsid w:val="009B4A9A"/>
    <w:rsid w:val="009B4F10"/>
    <w:rsid w:val="009C4A63"/>
    <w:rsid w:val="009C59AC"/>
    <w:rsid w:val="009D3A60"/>
    <w:rsid w:val="009D7735"/>
    <w:rsid w:val="009E23AA"/>
    <w:rsid w:val="009E42FC"/>
    <w:rsid w:val="009E4E1B"/>
    <w:rsid w:val="009E53DD"/>
    <w:rsid w:val="009F0635"/>
    <w:rsid w:val="009F2FD6"/>
    <w:rsid w:val="009F3D94"/>
    <w:rsid w:val="00A04622"/>
    <w:rsid w:val="00A12921"/>
    <w:rsid w:val="00A13681"/>
    <w:rsid w:val="00A1626B"/>
    <w:rsid w:val="00A16EE4"/>
    <w:rsid w:val="00A16EEB"/>
    <w:rsid w:val="00A17B3B"/>
    <w:rsid w:val="00A24388"/>
    <w:rsid w:val="00A27120"/>
    <w:rsid w:val="00A31A49"/>
    <w:rsid w:val="00A37CAE"/>
    <w:rsid w:val="00A412E8"/>
    <w:rsid w:val="00A423DE"/>
    <w:rsid w:val="00A4551A"/>
    <w:rsid w:val="00A47EA2"/>
    <w:rsid w:val="00A528C6"/>
    <w:rsid w:val="00A54A4B"/>
    <w:rsid w:val="00A60F0E"/>
    <w:rsid w:val="00A61FE0"/>
    <w:rsid w:val="00A64419"/>
    <w:rsid w:val="00A71AB1"/>
    <w:rsid w:val="00A75B20"/>
    <w:rsid w:val="00A77C2E"/>
    <w:rsid w:val="00A80CC3"/>
    <w:rsid w:val="00A855E6"/>
    <w:rsid w:val="00A90DF9"/>
    <w:rsid w:val="00A940F6"/>
    <w:rsid w:val="00A962DD"/>
    <w:rsid w:val="00AA28C1"/>
    <w:rsid w:val="00AA7491"/>
    <w:rsid w:val="00AA7EF4"/>
    <w:rsid w:val="00AB0DD3"/>
    <w:rsid w:val="00AB264D"/>
    <w:rsid w:val="00AC178E"/>
    <w:rsid w:val="00AC26CE"/>
    <w:rsid w:val="00AC3ADB"/>
    <w:rsid w:val="00AC3F2D"/>
    <w:rsid w:val="00AD09D2"/>
    <w:rsid w:val="00AD1183"/>
    <w:rsid w:val="00AE0E06"/>
    <w:rsid w:val="00AE5289"/>
    <w:rsid w:val="00AF1152"/>
    <w:rsid w:val="00AF4A57"/>
    <w:rsid w:val="00B021FD"/>
    <w:rsid w:val="00B02641"/>
    <w:rsid w:val="00B1701C"/>
    <w:rsid w:val="00B20F0A"/>
    <w:rsid w:val="00B2256A"/>
    <w:rsid w:val="00B25E85"/>
    <w:rsid w:val="00B301F2"/>
    <w:rsid w:val="00B35F6B"/>
    <w:rsid w:val="00B40521"/>
    <w:rsid w:val="00B423AB"/>
    <w:rsid w:val="00B4252A"/>
    <w:rsid w:val="00B427EC"/>
    <w:rsid w:val="00B501D8"/>
    <w:rsid w:val="00B507AE"/>
    <w:rsid w:val="00B51076"/>
    <w:rsid w:val="00B52D6C"/>
    <w:rsid w:val="00B53B4B"/>
    <w:rsid w:val="00B549A5"/>
    <w:rsid w:val="00B54B7D"/>
    <w:rsid w:val="00B55D96"/>
    <w:rsid w:val="00B56139"/>
    <w:rsid w:val="00B56D8C"/>
    <w:rsid w:val="00B57323"/>
    <w:rsid w:val="00B6160A"/>
    <w:rsid w:val="00B619B4"/>
    <w:rsid w:val="00B62857"/>
    <w:rsid w:val="00B63D64"/>
    <w:rsid w:val="00B65490"/>
    <w:rsid w:val="00B66C3A"/>
    <w:rsid w:val="00B66D9C"/>
    <w:rsid w:val="00B7114F"/>
    <w:rsid w:val="00B718FF"/>
    <w:rsid w:val="00B72D9D"/>
    <w:rsid w:val="00B73DD9"/>
    <w:rsid w:val="00B77032"/>
    <w:rsid w:val="00B825DA"/>
    <w:rsid w:val="00B82633"/>
    <w:rsid w:val="00B86B3A"/>
    <w:rsid w:val="00B92C61"/>
    <w:rsid w:val="00BA0953"/>
    <w:rsid w:val="00BA62E5"/>
    <w:rsid w:val="00BA6B46"/>
    <w:rsid w:val="00BB02E0"/>
    <w:rsid w:val="00BB2037"/>
    <w:rsid w:val="00BB512A"/>
    <w:rsid w:val="00BC1387"/>
    <w:rsid w:val="00BC45D1"/>
    <w:rsid w:val="00BD1EB6"/>
    <w:rsid w:val="00BD3C6D"/>
    <w:rsid w:val="00BD6720"/>
    <w:rsid w:val="00BE6121"/>
    <w:rsid w:val="00BE6691"/>
    <w:rsid w:val="00BE68D7"/>
    <w:rsid w:val="00BF0F08"/>
    <w:rsid w:val="00BF68BA"/>
    <w:rsid w:val="00C013F8"/>
    <w:rsid w:val="00C01E3B"/>
    <w:rsid w:val="00C034EA"/>
    <w:rsid w:val="00C11F1F"/>
    <w:rsid w:val="00C13B53"/>
    <w:rsid w:val="00C17F69"/>
    <w:rsid w:val="00C25579"/>
    <w:rsid w:val="00C316CB"/>
    <w:rsid w:val="00C340B3"/>
    <w:rsid w:val="00C35016"/>
    <w:rsid w:val="00C36237"/>
    <w:rsid w:val="00C415A7"/>
    <w:rsid w:val="00C42F97"/>
    <w:rsid w:val="00C4463C"/>
    <w:rsid w:val="00C6315E"/>
    <w:rsid w:val="00C664A7"/>
    <w:rsid w:val="00C82F9E"/>
    <w:rsid w:val="00C843D9"/>
    <w:rsid w:val="00C86070"/>
    <w:rsid w:val="00C94F1D"/>
    <w:rsid w:val="00C95951"/>
    <w:rsid w:val="00C97142"/>
    <w:rsid w:val="00CA2A38"/>
    <w:rsid w:val="00CA5B67"/>
    <w:rsid w:val="00CA7A65"/>
    <w:rsid w:val="00CB2771"/>
    <w:rsid w:val="00CB4F82"/>
    <w:rsid w:val="00CD4344"/>
    <w:rsid w:val="00CD536F"/>
    <w:rsid w:val="00CD7586"/>
    <w:rsid w:val="00CE21DF"/>
    <w:rsid w:val="00CE2DDA"/>
    <w:rsid w:val="00CE73CA"/>
    <w:rsid w:val="00CF2B8F"/>
    <w:rsid w:val="00CF3931"/>
    <w:rsid w:val="00CF5D30"/>
    <w:rsid w:val="00D0307F"/>
    <w:rsid w:val="00D055F1"/>
    <w:rsid w:val="00D12D1C"/>
    <w:rsid w:val="00D13558"/>
    <w:rsid w:val="00D13C0F"/>
    <w:rsid w:val="00D20106"/>
    <w:rsid w:val="00D23D57"/>
    <w:rsid w:val="00D27067"/>
    <w:rsid w:val="00D31527"/>
    <w:rsid w:val="00D33147"/>
    <w:rsid w:val="00D3641A"/>
    <w:rsid w:val="00D41084"/>
    <w:rsid w:val="00D463DF"/>
    <w:rsid w:val="00D505E7"/>
    <w:rsid w:val="00D50C27"/>
    <w:rsid w:val="00D5209F"/>
    <w:rsid w:val="00D52219"/>
    <w:rsid w:val="00D5684F"/>
    <w:rsid w:val="00D63A6D"/>
    <w:rsid w:val="00D65F64"/>
    <w:rsid w:val="00D666D5"/>
    <w:rsid w:val="00D66B78"/>
    <w:rsid w:val="00D70FE5"/>
    <w:rsid w:val="00D71F13"/>
    <w:rsid w:val="00D7357C"/>
    <w:rsid w:val="00D75341"/>
    <w:rsid w:val="00D82409"/>
    <w:rsid w:val="00D936F3"/>
    <w:rsid w:val="00DA3285"/>
    <w:rsid w:val="00DA33F9"/>
    <w:rsid w:val="00DA3A84"/>
    <w:rsid w:val="00DA705D"/>
    <w:rsid w:val="00DA7D7B"/>
    <w:rsid w:val="00DB6023"/>
    <w:rsid w:val="00DB7F37"/>
    <w:rsid w:val="00DC04B1"/>
    <w:rsid w:val="00DC39E8"/>
    <w:rsid w:val="00DC5C13"/>
    <w:rsid w:val="00DD3C1A"/>
    <w:rsid w:val="00DD6ABD"/>
    <w:rsid w:val="00DF2CCC"/>
    <w:rsid w:val="00DF3098"/>
    <w:rsid w:val="00DF3C95"/>
    <w:rsid w:val="00DF6EF2"/>
    <w:rsid w:val="00DF7D7F"/>
    <w:rsid w:val="00E00E7A"/>
    <w:rsid w:val="00E021DF"/>
    <w:rsid w:val="00E0656C"/>
    <w:rsid w:val="00E06782"/>
    <w:rsid w:val="00E13B35"/>
    <w:rsid w:val="00E16E07"/>
    <w:rsid w:val="00E21406"/>
    <w:rsid w:val="00E228FE"/>
    <w:rsid w:val="00E24522"/>
    <w:rsid w:val="00E26317"/>
    <w:rsid w:val="00E31F05"/>
    <w:rsid w:val="00E324FE"/>
    <w:rsid w:val="00E3581C"/>
    <w:rsid w:val="00E46522"/>
    <w:rsid w:val="00E50D2F"/>
    <w:rsid w:val="00E60426"/>
    <w:rsid w:val="00E60EE3"/>
    <w:rsid w:val="00E6166C"/>
    <w:rsid w:val="00E619CA"/>
    <w:rsid w:val="00E63084"/>
    <w:rsid w:val="00E631CE"/>
    <w:rsid w:val="00E70138"/>
    <w:rsid w:val="00E732DF"/>
    <w:rsid w:val="00E74160"/>
    <w:rsid w:val="00E7472B"/>
    <w:rsid w:val="00E80419"/>
    <w:rsid w:val="00E812E7"/>
    <w:rsid w:val="00E8187E"/>
    <w:rsid w:val="00E874A3"/>
    <w:rsid w:val="00EA14F9"/>
    <w:rsid w:val="00EA65BF"/>
    <w:rsid w:val="00EB03B8"/>
    <w:rsid w:val="00EB60D1"/>
    <w:rsid w:val="00EB71D4"/>
    <w:rsid w:val="00EC1AFF"/>
    <w:rsid w:val="00EC4346"/>
    <w:rsid w:val="00EC762E"/>
    <w:rsid w:val="00ED4A01"/>
    <w:rsid w:val="00ED6929"/>
    <w:rsid w:val="00EE1BBA"/>
    <w:rsid w:val="00EE479D"/>
    <w:rsid w:val="00EE5944"/>
    <w:rsid w:val="00EF4211"/>
    <w:rsid w:val="00EF5FAA"/>
    <w:rsid w:val="00EF64CD"/>
    <w:rsid w:val="00F000B8"/>
    <w:rsid w:val="00F01787"/>
    <w:rsid w:val="00F05366"/>
    <w:rsid w:val="00F05538"/>
    <w:rsid w:val="00F058EA"/>
    <w:rsid w:val="00F11D95"/>
    <w:rsid w:val="00F135AD"/>
    <w:rsid w:val="00F14C09"/>
    <w:rsid w:val="00F15928"/>
    <w:rsid w:val="00F15E2C"/>
    <w:rsid w:val="00F17E79"/>
    <w:rsid w:val="00F22265"/>
    <w:rsid w:val="00F22654"/>
    <w:rsid w:val="00F22BD1"/>
    <w:rsid w:val="00F24634"/>
    <w:rsid w:val="00F2615A"/>
    <w:rsid w:val="00F34B29"/>
    <w:rsid w:val="00F42430"/>
    <w:rsid w:val="00F43E75"/>
    <w:rsid w:val="00F54995"/>
    <w:rsid w:val="00F61973"/>
    <w:rsid w:val="00F64F5B"/>
    <w:rsid w:val="00F66773"/>
    <w:rsid w:val="00F66D3A"/>
    <w:rsid w:val="00F67146"/>
    <w:rsid w:val="00F67BA6"/>
    <w:rsid w:val="00F70E19"/>
    <w:rsid w:val="00F710EF"/>
    <w:rsid w:val="00F7298B"/>
    <w:rsid w:val="00F72BEB"/>
    <w:rsid w:val="00F73AC7"/>
    <w:rsid w:val="00F74608"/>
    <w:rsid w:val="00F76E46"/>
    <w:rsid w:val="00F86CBB"/>
    <w:rsid w:val="00F87D92"/>
    <w:rsid w:val="00F90E16"/>
    <w:rsid w:val="00F9214D"/>
    <w:rsid w:val="00F925A6"/>
    <w:rsid w:val="00F92A72"/>
    <w:rsid w:val="00F93244"/>
    <w:rsid w:val="00F9460E"/>
    <w:rsid w:val="00F9558C"/>
    <w:rsid w:val="00FA1EEE"/>
    <w:rsid w:val="00FA21B3"/>
    <w:rsid w:val="00FA2A52"/>
    <w:rsid w:val="00FA42F9"/>
    <w:rsid w:val="00FA75E5"/>
    <w:rsid w:val="00FB1B6C"/>
    <w:rsid w:val="00FC44EB"/>
    <w:rsid w:val="00FC665A"/>
    <w:rsid w:val="00FD1E38"/>
    <w:rsid w:val="00FE141D"/>
    <w:rsid w:val="00FE4FFE"/>
    <w:rsid w:val="00FE66A6"/>
    <w:rsid w:val="00FE6FA4"/>
    <w:rsid w:val="00FF12F2"/>
    <w:rsid w:val="00FF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333AD-EACB-434A-9E2D-CA11F9AE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223</Words>
  <Characters>1276</Characters>
  <Application>Microsoft Office Word</Application>
  <DocSecurity>0</DocSecurity>
  <Lines>10</Lines>
  <Paragraphs>2</Paragraphs>
  <ScaleCrop>false</ScaleCrop>
  <Company>Sky123.Org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王朋飞</cp:lastModifiedBy>
  <cp:revision>33</cp:revision>
  <cp:lastPrinted>2013-09-13T02:33:00Z</cp:lastPrinted>
  <dcterms:created xsi:type="dcterms:W3CDTF">2017-03-17T08:46:00Z</dcterms:created>
  <dcterms:modified xsi:type="dcterms:W3CDTF">2017-03-17T11:05:00Z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